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4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Kártya és Kerékpár Bérleti Szerződés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amely létrejött egyrészről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T-System Zrt.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(székhely: </w:t>
      </w:r>
      <w:r w:rsidDel="00000000" w:rsidR="00000000" w:rsidRPr="00000000">
        <w:rPr>
          <w:rFonts w:ascii="Arial" w:cs="Arial" w:eastAsia="Arial" w:hAnsi="Arial"/>
          <w:color w:val="3a3a39"/>
          <w:sz w:val="24"/>
          <w:szCs w:val="24"/>
          <w:highlight w:val="white"/>
          <w:rtl w:val="0"/>
        </w:rPr>
        <w:t xml:space="preserve">1097 Budapest Könyves Kálmán körút 36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., cégjegyzékszám: </w:t>
      </w:r>
      <w:r w:rsidDel="00000000" w:rsidR="00000000" w:rsidRPr="00000000">
        <w:rPr>
          <w:rFonts w:ascii="Arial" w:cs="Arial" w:eastAsia="Arial" w:hAnsi="Arial"/>
          <w:color w:val="3a3a39"/>
          <w:sz w:val="24"/>
          <w:szCs w:val="24"/>
          <w:highlight w:val="white"/>
          <w:rtl w:val="0"/>
        </w:rPr>
        <w:t xml:space="preserve">1-10-044852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adószám: </w:t>
      </w:r>
      <w:r w:rsidDel="00000000" w:rsidR="00000000" w:rsidRPr="00000000">
        <w:rPr>
          <w:rFonts w:ascii="Arial" w:cs="Arial" w:eastAsia="Arial" w:hAnsi="Arial"/>
          <w:color w:val="3a3a39"/>
          <w:sz w:val="24"/>
          <w:szCs w:val="24"/>
          <w:highlight w:val="white"/>
          <w:rtl w:val="0"/>
        </w:rPr>
        <w:t xml:space="preserve">12928099-2-44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képviseli: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Kiss Bálint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ügyvezető), mint bérbeadó (továbbiakban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Bérbeadó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Bérbeadó meghatalmazottjaként – meghatalmazás alapján –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(székhely: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., cégjegyzékszám: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adószám: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képviseli: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másrészről:</w:t>
      </w:r>
    </w:p>
    <w:tbl>
      <w:tblPr>
        <w:tblStyle w:val="Table1"/>
        <w:tblW w:w="9124.0" w:type="dxa"/>
        <w:jc w:val="left"/>
        <w:tblInd w:w="0.0" w:type="dxa"/>
        <w:tblLayout w:type="fixed"/>
        <w:tblLook w:val="0000"/>
      </w:tblPr>
      <w:tblGrid>
        <w:gridCol w:w="4498"/>
        <w:gridCol w:w="4626"/>
        <w:tblGridChange w:id="0">
          <w:tblGrid>
            <w:gridCol w:w="4498"/>
            <w:gridCol w:w="462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Természetes személy esetén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Jogi személy esetén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név és születési név: ………..………………..……………………..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szervezet neve: …………..…………………………………..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születési hely és idő:…... ………………………..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nyilvántartási szám:…... …………………………..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anyja neve: …...…………………………………....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képviselő neve: ….…... …………………………..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lakcím: …………….…... …………………………..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székhely: ………….…... …………………………..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tartózkodási hely: ……. …………………………..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adószám: ……………... …………………………..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állampolgárság: …..….. …………………………..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statisztikai számjel: …..…………………………..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3"/>
                <w:szCs w:val="23"/>
                <w:vertAlign w:val="baseline"/>
                <w:rtl w:val="0"/>
              </w:rPr>
              <w:t xml:space="preserve">személyazonosító okmány típusa és száma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………………………………..……………………..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használatra feljogosított személyek: ………………………...…..…………………………..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………………………………………………………...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mobiltelefonszám: …..…………………………..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rFonts w:ascii="Arial Narrow" w:cs="Arial Narrow" w:eastAsia="Arial Narrow" w:hAnsi="Arial Narrow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mobiltelefonszám: …..…………………………..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e-mail cím: …..…………………………………..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e-mail cím: ……….…..…………………………..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mint bérlő (a továbbiakban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Bérlő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(Bérbeadó és Bérlő a továbbiakban együttesen: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Felek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alulírott napon és helyen az alábbi feltételekkel: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Jelen szerződés szabályozza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Közösségi Bérkerékpár Rendszer használatát lehetővé tevő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Kártya, valamint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Kerékpár bérletére, használatára vonatkozóan a Felek között létrejövő jogviszonyt.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Felek rögzítik, hogy a jelen szerződésben nem, vagy nem kellő részletességgel szabályozott kérdésekben a jelen szerződés elválaszthatatlan részét képező „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Közösségi Bérkerékpár Rendszer”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 Általános Szerződési Feltételek (a továbbiakban: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ÁSZF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mindenkor hatályos rendelkezései irányadóak. Az ÁSZF megtalálható a </w:t>
      </w:r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vertAlign w:val="baseline"/>
          <w:rtl w:val="0"/>
        </w:rPr>
        <w:t xml:space="preserve">http://</w:t>
      </w:r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vertAlign w:val="baseline"/>
          <w:rtl w:val="0"/>
        </w:rPr>
        <w:t xml:space="preserve">.hu/szerzodesek-leirasok/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webcímen, illetve kifüggesztve a Kártyaértékesítő helyeken és a Központi Ügyfélszolgálati Irodában. Bérlő jelen szerződés aláírásával kifejezetten elismeri, hogy az ÁSZF rendelkezéseit megismerte, és ezek teljes körű megértését és megfontolását követően kötötte meg a jelen szerződést.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Felek megállapodnak, hogy </w:t>
      </w:r>
    </w:p>
    <w:p w:rsidR="00000000" w:rsidDel="00000000" w:rsidP="00000000" w:rsidRDefault="00000000" w:rsidRPr="00000000" w14:paraId="00000042">
      <w:pPr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201... .... .... napjától </w:t>
      </w:r>
    </w:p>
    <w:p w:rsidR="00000000" w:rsidDel="00000000" w:rsidP="00000000" w:rsidRDefault="00000000" w:rsidRPr="00000000" w14:paraId="00000043">
      <w:pPr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201... .... .... napjáig </w:t>
      </w:r>
    </w:p>
    <w:p w:rsidR="00000000" w:rsidDel="00000000" w:rsidP="00000000" w:rsidRDefault="00000000" w:rsidRPr="00000000" w14:paraId="00000044">
      <w:pPr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Bérbeadó a(z) ……………………… azonosító jelű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Kártyát (mágnes kártyát) (a továbbiakban: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Kártya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a Bérlő használatába adja. A Bérlő a Kártyát jelen szerződés aláírásával egyidejűleg átveszi, az átvétel tényét a szerződés aláírásával elismeri.</w:t>
      </w:r>
    </w:p>
    <w:p w:rsidR="00000000" w:rsidDel="00000000" w:rsidP="00000000" w:rsidRDefault="00000000" w:rsidRPr="00000000" w14:paraId="00000045">
      <w:pPr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Felek megállapodnak, hogy a Kártya érvényességi ideje alatt a Bérbeadó a Bérlő igénye szerint, az ÁSZF-ben meghatározott számban, időszakokban, helyeken és időtartamra bérbe ad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Kerékpárt (a továbbiakban: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Kerékpár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 Bérlő részére.</w:t>
      </w:r>
    </w:p>
    <w:p w:rsidR="00000000" w:rsidDel="00000000" w:rsidP="00000000" w:rsidRDefault="00000000" w:rsidRPr="00000000" w14:paraId="00000046">
      <w:pPr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Bérlő vállalja, hogy a Kártya és a Kerékpár használatáért a díjakat a 9. pontban foglaltak szerint megfizeti.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Bérlő a Kártyát és a Kerékpárt az ÁSZF-ben foglalt feltételek teljesítése esetén, az ÁSZF-ben meghatározott szabályok szerint jogosult használni. Bérlő kijelenti és jelen szerződés aláírásával elismeri, hogy a Kártya és a Kerékpár használatára – különösen a használattal együtt járó, Bérlőt terhelő felelősségre – vonatkozó szabályokat megismerte.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Bérbeadó szavatol azért, hogy a jelen szerződés időtartama alatt a Kártya és a Kerékpár műszakilag alkalmas az ÁSZF-ben meghatározottak szerint a rendeltetésszerű és szerződéses célja szerinti használatra.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Bérlő köteles a Kártyát és a Kerékpárt rendeltetésének megfelelően kellő gondossággal használni, kezelni és megóvni. Bérlő nem jogosult a Kártyát és a Kerékpárt másnak használtra átadni, bérbe adni, kölcsönadni, kivéve, amennyiben az ÁSZF ettől eltérően kifejezetten megengedi azt. Ezen kötelezettségek megszegéséből származó minden felmerülő kárért Bérlő teljes anyagi felelősséggel tartozik. </w:t>
      </w:r>
    </w:p>
    <w:p w:rsidR="00000000" w:rsidDel="00000000" w:rsidP="00000000" w:rsidRDefault="00000000" w:rsidRPr="00000000" w14:paraId="0000004C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Bérlő 5. pontban foglalt kötelezettségei különösen kiterjednek a Kártya és a Kerékpár elveszítéstől és a lopástól való megóvására.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Kártya megsemmisülése, elvesztése esetén jelen szerződés megszűnik.</w:t>
      </w:r>
    </w:p>
    <w:p w:rsidR="00000000" w:rsidDel="00000000" w:rsidP="00000000" w:rsidRDefault="00000000" w:rsidRPr="00000000" w14:paraId="00000050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Kártya érvényességi idejének lejárta utáni egy hónapon belül a Bérlő köteles a Kártya leadására a Kártyaértékesítő helyeken vagy a Központi Ügyfélszolgálati Irodában.</w:t>
      </w:r>
    </w:p>
    <w:p w:rsidR="00000000" w:rsidDel="00000000" w:rsidP="00000000" w:rsidRDefault="00000000" w:rsidRPr="00000000" w14:paraId="00000052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Kártya bérleti díja egyszeri díj, jelen szerződés aláírásával egyidejűleg, számla vagy nyugta ellenében megfizetendő összeg. A Kártya bérleti díja bruttó 600,- Ft, azaz hatszáz forint.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Kártya használatához 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BaBiBike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Rendszerhez való hozzáférést biztosító fél éves vagy éves bérlet vásárlása szükséges a Weboldalon feltűntetett mindenkori díjszabás szerint.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Kártya kiváltásakor egy minimum összeget – mely a Weboldalon kerül feltüntetésre – fel kell tölteni a Kártyára. </w:t>
      </w:r>
    </w:p>
    <w:p w:rsidR="00000000" w:rsidDel="00000000" w:rsidP="00000000" w:rsidRDefault="00000000" w:rsidRPr="00000000" w14:paraId="00000058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Kerékpár kölcsönzési díjára a Weboldalon feltűntetett mindenkori díjszabás az irányadó.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Bérlő kötelezettséget vállal arra, hogy minden, jelen szerződés szempontjából lényeges, így különösen személyes adataiban bekövetkező változásról 5 napon belül írásban, igazolható módon értesíti Bérbeadót. Amennyiben Bérlő elmulasztja ezt a kötelezettségét, az ebből eredő teljes kárfelelősség őt terheli.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Bérlő kifejezetten hozzájárul ahhoz, hogy személyes adatait a Bérbeadó a vonatkozó adatvédelmi jogszabályok szerint kezelje, különösen a jelen szerződés és az ÁSZF-ből eredő bérbeadói igények érvényesítése körében. Bérlő jelen szerződés aláírásával kijelenti, hogy személyes adatai kezelésének szabályairól Bérbeadó tájékoztatta. 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jelen szerződésben használt, nagybetűvel szedett, jelen szerződésben nem definiált fogalmak az ÁSZF-ben meghatározott jelentéssel bírnak.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Jelen szerződésben nem szabályozott kérdésekben a Ptk. vonatkozó rendelkezései az irányadóak.</w:t>
      </w:r>
    </w:p>
    <w:p w:rsidR="00000000" w:rsidDel="00000000" w:rsidP="00000000" w:rsidRDefault="00000000" w:rsidRPr="00000000" w14:paraId="00000062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Szerződő felek jelen bérleti szerződést annak elolvasása, megértése és közös értelmezése után, mint akaratukkal mindenben megegyezőt jóváhagyólag aláírták.</w:t>
      </w:r>
    </w:p>
    <w:p w:rsidR="00000000" w:rsidDel="00000000" w:rsidP="00000000" w:rsidRDefault="00000000" w:rsidRPr="00000000" w14:paraId="00000063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Kelt: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Badacsonytomaj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201. …………………. …. napján</w:t>
      </w:r>
    </w:p>
    <w:p w:rsidR="00000000" w:rsidDel="00000000" w:rsidP="00000000" w:rsidRDefault="00000000" w:rsidRPr="00000000" w14:paraId="00000064">
      <w:pPr>
        <w:spacing w:after="280" w:before="280" w:line="240" w:lineRule="auto"/>
        <w:ind w:left="0" w:right="0" w:firstLine="709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ind w:left="0" w:right="0" w:firstLine="709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="240" w:lineRule="auto"/>
        <w:ind w:left="0" w:right="0" w:firstLine="709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…...........................................                                         ….......................................</w:t>
      </w:r>
    </w:p>
    <w:p w:rsidR="00000000" w:rsidDel="00000000" w:rsidP="00000000" w:rsidRDefault="00000000" w:rsidRPr="00000000" w14:paraId="00000067">
      <w:pPr>
        <w:spacing w:after="280" w:before="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                        Bérbeadó                                                                          Bérlő</w:t>
      </w:r>
    </w:p>
    <w:p w:rsidR="00000000" w:rsidDel="00000000" w:rsidP="00000000" w:rsidRDefault="00000000" w:rsidRPr="00000000" w14:paraId="00000068">
      <w:pPr>
        <w:spacing w:after="280" w:before="0" w:line="240" w:lineRule="auto"/>
        <w:ind w:left="708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meghatalmazottja</w:t>
      </w:r>
    </w:p>
    <w:sectPr>
      <w:pgSz w:h="16838" w:w="11906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